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right w:val="nil"/>
        </w:tblBorders>
        <w:tblLayout w:type="fixed"/>
        <w:tblLook w:val="0000" w:firstRow="0" w:lastRow="0" w:firstColumn="0" w:lastColumn="0" w:noHBand="0" w:noVBand="0"/>
      </w:tblPr>
      <w:tblGrid>
        <w:gridCol w:w="9120"/>
      </w:tblGrid>
      <w:tr w:rsidR="00135B97" w14:paraId="7585783B" w14:textId="77777777">
        <w:tblPrEx>
          <w:tblCellMar>
            <w:top w:w="0" w:type="dxa"/>
            <w:bottom w:w="0" w:type="dxa"/>
          </w:tblCellMar>
        </w:tblPrEx>
        <w:tc>
          <w:tcPr>
            <w:gridSpan w:val="0"/>
          </w:tcPr>
          <w:tbl>
            <w:tblPr>
              <w:tblW w:w="0" w:type="nil"/>
              <w:tblInd w:w="0" w:type="nil"/>
              <w:tblBorders>
                <w:top w:val="nil"/>
                <w:left w:val="nil"/>
                <w:right w:val="nil"/>
              </w:tblBorders>
              <w:tblLayout w:type="fixed"/>
              <w:tblCellMar>
                <w:left w:w="0" w:type="dxa"/>
                <w:right w:w="0" w:type="dxa"/>
              </w:tblCellMar>
              <w:tblLook w:val="0000" w:firstRow="0" w:lastRow="0" w:firstColumn="0" w:lastColumn="0" w:noHBand="0" w:noVBand="0"/>
            </w:tblPr>
            <w:tblGrid>
              <w:gridCol w:w="8748"/>
            </w:tblGrid>
            <w:tr w:rsidR="00135B97" w14:paraId="10CAC227" w14:textId="77777777">
              <w:tblPrEx>
                <w:tblCellMar>
                  <w:top w:w="0" w:type="dxa"/>
                  <w:left w:w="0" w:type="dxa"/>
                  <w:bottom w:w="0" w:type="dxa"/>
                  <w:right w:w="0" w:type="dxa"/>
                </w:tblCellMar>
              </w:tblPrEx>
              <w:tc>
                <w:tcPr>
                  <w:tcW w:w="6120" w:type="dxa"/>
                  <w:tcBorders>
                    <w:top w:val="nil"/>
                    <w:left w:val="nil"/>
                    <w:bottom w:val="nil"/>
                    <w:right w:val="nil"/>
                  </w:tcBorders>
                  <w:vAlign w:val="center"/>
                </w:tcPr>
                <w:p w14:paraId="0280585E" w14:textId="77777777" w:rsidR="00135B97" w:rsidRDefault="00135B97">
                  <w:pPr>
                    <w:widowControl w:val="0"/>
                    <w:autoSpaceDE w:val="0"/>
                    <w:autoSpaceDN w:val="0"/>
                    <w:adjustRightInd w:val="0"/>
                    <w:rPr>
                      <w:rFonts w:ascii="Arial" w:hAnsi="Arial" w:cs="Arial"/>
                      <w:color w:val="1A1A1A"/>
                      <w:sz w:val="26"/>
                      <w:szCs w:val="26"/>
                      <w:lang w:val="en-US"/>
                    </w:rPr>
                  </w:pPr>
                  <w:r>
                    <w:rPr>
                      <w:rFonts w:ascii="Arial" w:hAnsi="Arial" w:cs="Arial"/>
                      <w:b/>
                      <w:bCs/>
                      <w:color w:val="1A1A1A"/>
                      <w:sz w:val="26"/>
                      <w:szCs w:val="26"/>
                      <w:lang w:val="en-US"/>
                    </w:rPr>
                    <w:t>Kathy Kennedy</w:t>
                  </w:r>
                  <w:r>
                    <w:rPr>
                      <w:rFonts w:ascii="Arial" w:hAnsi="Arial" w:cs="Arial"/>
                      <w:color w:val="1A1A1A"/>
                      <w:sz w:val="26"/>
                      <w:szCs w:val="26"/>
                      <w:lang w:val="en-US"/>
                    </w:rPr>
                    <w:t xml:space="preserve"> </w:t>
                  </w:r>
                  <w:r>
                    <w:rPr>
                      <w:rFonts w:ascii="Arial" w:hAnsi="Arial" w:cs="Arial"/>
                      <w:color w:val="434343"/>
                      <w:sz w:val="26"/>
                      <w:szCs w:val="26"/>
                      <w:lang w:val="en-US"/>
                    </w:rPr>
                    <w:t>&lt;kathyltk@gmail.com&gt;</w:t>
                  </w:r>
                </w:p>
              </w:tc>
            </w:tr>
          </w:tbl>
          <w:p w14:paraId="5046AFBC" w14:textId="77777777" w:rsidR="00135B97" w:rsidRDefault="00135B97">
            <w:pPr>
              <w:widowControl w:val="0"/>
              <w:autoSpaceDE w:val="0"/>
              <w:autoSpaceDN w:val="0"/>
              <w:adjustRightInd w:val="0"/>
              <w:jc w:val="right"/>
              <w:rPr>
                <w:rFonts w:ascii="Arial" w:hAnsi="Arial" w:cs="Arial"/>
                <w:color w:val="1A1A1A"/>
                <w:sz w:val="26"/>
                <w:szCs w:val="26"/>
                <w:lang w:val="en-US"/>
              </w:rPr>
            </w:pPr>
            <w:r>
              <w:rPr>
                <w:rFonts w:ascii="Arial" w:hAnsi="Arial" w:cs="Arial"/>
                <w:color w:val="1A1A1A"/>
                <w:sz w:val="26"/>
                <w:szCs w:val="26"/>
                <w:lang w:val="en-US"/>
              </w:rPr>
              <w:t>08:43 (2 hours ago)</w:t>
            </w:r>
            <w:r>
              <w:rPr>
                <w:rFonts w:ascii="Arial" w:hAnsi="Arial" w:cs="Arial"/>
                <w:noProof/>
                <w:color w:val="1A1A1A"/>
                <w:sz w:val="26"/>
                <w:szCs w:val="26"/>
                <w:lang w:val="en-US"/>
              </w:rPr>
              <w:drawing>
                <wp:inline distT="0" distB="0" distL="0" distR="0" wp14:anchorId="43BF76C9" wp14:editId="233CE792">
                  <wp:extent cx="12700" cy="12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6120" w:type="dxa"/>
            <w:vAlign w:val="center"/>
          </w:tcPr>
          <w:p w14:paraId="42D0AD71" w14:textId="77777777" w:rsidR="00135B97" w:rsidRDefault="00135B97">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 xml:space="preserve">E-mail Sent July 14, 2016 </w:t>
            </w:r>
          </w:p>
          <w:p w14:paraId="5A9AA257" w14:textId="77777777" w:rsidR="00135B97" w:rsidRDefault="00135B97">
            <w:pPr>
              <w:widowControl w:val="0"/>
              <w:autoSpaceDE w:val="0"/>
              <w:autoSpaceDN w:val="0"/>
              <w:adjustRightInd w:val="0"/>
              <w:rPr>
                <w:rFonts w:ascii="Arial" w:hAnsi="Arial" w:cs="Arial"/>
                <w:color w:val="1A1A1A"/>
                <w:sz w:val="26"/>
                <w:szCs w:val="26"/>
                <w:lang w:val="en-US"/>
              </w:rPr>
            </w:pPr>
          </w:p>
        </w:tc>
        <w:tc>
          <w:tcPr>
            <w:gridSpan w:val="0"/>
          </w:tcPr>
          <w:p w14:paraId="7952B8B9" w14:textId="77777777" w:rsidR="00135B97" w:rsidRDefault="00135B97">
            <w:pPr>
              <w:widowControl w:val="0"/>
              <w:autoSpaceDE w:val="0"/>
              <w:autoSpaceDN w:val="0"/>
              <w:adjustRightInd w:val="0"/>
              <w:rPr>
                <w:rFonts w:ascii="Arial" w:hAnsi="Arial" w:cs="Arial"/>
                <w:color w:val="1A1A1A"/>
                <w:sz w:val="26"/>
                <w:szCs w:val="26"/>
                <w:lang w:val="en-US"/>
              </w:rPr>
            </w:pPr>
            <w:r>
              <w:rPr>
                <w:rFonts w:ascii="Arial" w:hAnsi="Arial" w:cs="Arial"/>
                <w:b/>
                <w:bCs/>
                <w:noProof/>
                <w:color w:val="343434"/>
                <w:sz w:val="22"/>
                <w:szCs w:val="22"/>
                <w:lang w:val="en-US"/>
              </w:rPr>
              <w:drawing>
                <wp:inline distT="0" distB="0" distL="0" distR="0" wp14:anchorId="728C8AC0" wp14:editId="14B3E93B">
                  <wp:extent cx="12700" cy="12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Arial" w:hAnsi="Arial" w:cs="Arial"/>
                <w:b/>
                <w:bCs/>
                <w:noProof/>
                <w:color w:val="343434"/>
                <w:sz w:val="22"/>
                <w:szCs w:val="22"/>
                <w:lang w:val="en-US"/>
              </w:rPr>
              <w:drawing>
                <wp:inline distT="0" distB="0" distL="0" distR="0" wp14:anchorId="55072B1D" wp14:editId="0F0DD799">
                  <wp:extent cx="12700" cy="127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135B97" w14:paraId="7A2C8EEA" w14:textId="77777777">
        <w:tblPrEx>
          <w:tblCellMar>
            <w:top w:w="0" w:type="dxa"/>
            <w:bottom w:w="0" w:type="dxa"/>
          </w:tblCellMar>
        </w:tblPrEx>
        <w:tc>
          <w:tcPr>
            <w:tcW w:w="9120" w:type="dxa"/>
            <w:vAlign w:val="center"/>
          </w:tcPr>
          <w:tbl>
            <w:tblPr>
              <w:tblW w:w="0" w:type="nil"/>
              <w:tblInd w:w="0" w:type="nil"/>
              <w:tblBorders>
                <w:top w:val="nil"/>
                <w:left w:val="nil"/>
                <w:right w:val="nil"/>
              </w:tblBorders>
              <w:tblLayout w:type="fixed"/>
              <w:tblCellMar>
                <w:left w:w="0" w:type="dxa"/>
                <w:right w:w="0" w:type="dxa"/>
              </w:tblCellMar>
              <w:tblLook w:val="0000" w:firstRow="0" w:lastRow="0" w:firstColumn="0" w:lastColumn="0" w:noHBand="0" w:noVBand="0"/>
            </w:tblPr>
            <w:tblGrid>
              <w:gridCol w:w="8748"/>
            </w:tblGrid>
            <w:tr w:rsidR="00135B97" w14:paraId="5B0E2048" w14:textId="77777777">
              <w:tblPrEx>
                <w:tblCellMar>
                  <w:top w:w="0" w:type="dxa"/>
                  <w:left w:w="0" w:type="dxa"/>
                  <w:bottom w:w="0" w:type="dxa"/>
                  <w:right w:w="0" w:type="dxa"/>
                </w:tblCellMar>
              </w:tblPrEx>
              <w:tc>
                <w:tcPr>
                  <w:tcW w:w="6120" w:type="dxa"/>
                  <w:tcBorders>
                    <w:top w:val="nil"/>
                    <w:left w:val="nil"/>
                    <w:bottom w:val="nil"/>
                    <w:right w:val="nil"/>
                  </w:tcBorders>
                  <w:vAlign w:val="center"/>
                </w:tcPr>
                <w:p w14:paraId="1C626659" w14:textId="77777777" w:rsidR="00135B97" w:rsidRDefault="00135B97">
                  <w:pPr>
                    <w:widowControl w:val="0"/>
                    <w:autoSpaceDE w:val="0"/>
                    <w:autoSpaceDN w:val="0"/>
                    <w:adjustRightInd w:val="0"/>
                    <w:rPr>
                      <w:rFonts w:ascii="Arial" w:hAnsi="Arial" w:cs="Arial"/>
                      <w:color w:val="1A1A1A"/>
                      <w:sz w:val="26"/>
                      <w:szCs w:val="26"/>
                      <w:lang w:val="en-US"/>
                    </w:rPr>
                  </w:pPr>
                  <w:proofErr w:type="gramStart"/>
                  <w:r>
                    <w:rPr>
                      <w:rFonts w:ascii="Arial" w:hAnsi="Arial" w:cs="Arial"/>
                      <w:color w:val="646464"/>
                      <w:sz w:val="26"/>
                      <w:szCs w:val="26"/>
                      <w:lang w:val="en-US"/>
                    </w:rPr>
                    <w:t>to</w:t>
                  </w:r>
                  <w:proofErr w:type="gramEnd"/>
                  <w:r>
                    <w:rPr>
                      <w:rFonts w:ascii="Arial" w:hAnsi="Arial" w:cs="Arial"/>
                      <w:color w:val="646464"/>
                      <w:sz w:val="26"/>
                      <w:szCs w:val="26"/>
                      <w:lang w:val="en-US"/>
                    </w:rPr>
                    <w:t xml:space="preserve"> </w:t>
                  </w:r>
                  <w:dir w:val="ltr">
                    <w:proofErr w:type="spellStart"/>
                    <w:r>
                      <w:rPr>
                        <w:rFonts w:ascii="Arial" w:hAnsi="Arial" w:cs="Arial"/>
                        <w:color w:val="646464"/>
                        <w:sz w:val="26"/>
                        <w:szCs w:val="26"/>
                        <w:lang w:val="en-US"/>
                      </w:rPr>
                      <w:t>OMBReview</w:t>
                    </w:r>
                    <w:proofErr w:type="spellEnd"/>
                    <w:r>
                      <w:rPr>
                        <w:rFonts w:ascii="Arial" w:hAnsi="Arial" w:cs="Arial"/>
                        <w:color w:val="646464"/>
                        <w:sz w:val="26"/>
                        <w:szCs w:val="26"/>
                        <w:lang w:val="en-US"/>
                      </w:rPr>
                      <w:t xml:space="preserve">‬, </w:t>
                    </w:r>
                    <w:dir w:val="ltr">
                      <w:r>
                        <w:rPr>
                          <w:rFonts w:ascii="Arial" w:hAnsi="Arial" w:cs="Arial"/>
                          <w:color w:val="646464"/>
                          <w:sz w:val="26"/>
                          <w:szCs w:val="26"/>
                          <w:lang w:val="en-US"/>
                        </w:rPr>
                        <w:t>ynaqvi.mpp.co</w:t>
                      </w:r>
                      <w:r>
                        <w:rPr>
                          <w:rFonts w:ascii="Arial" w:hAnsi="Arial" w:cs="Arial"/>
                          <w:color w:val="646464"/>
                          <w:sz w:val="26"/>
                          <w:szCs w:val="26"/>
                          <w:lang w:val="en-US"/>
                        </w:rPr>
                        <w:t xml:space="preserve">‬, </w:t>
                      </w:r>
                      <w:dir w:val="ltr">
                        <w:r>
                          <w:rPr>
                            <w:rFonts w:ascii="Arial" w:hAnsi="Arial" w:cs="Arial"/>
                            <w:color w:val="646464"/>
                            <w:sz w:val="26"/>
                            <w:szCs w:val="26"/>
                            <w:lang w:val="en-US"/>
                          </w:rPr>
                          <w:t>Karen</w:t>
                        </w:r>
                        <w:r>
                          <w:rPr>
                            <w:rFonts w:ascii="Arial" w:hAnsi="Arial" w:cs="Arial"/>
                            <w:color w:val="646464"/>
                            <w:sz w:val="26"/>
                            <w:szCs w:val="26"/>
                            <w:lang w:val="en-US"/>
                          </w:rPr>
                          <w:t xml:space="preserve">‬, </w:t>
                        </w:r>
                        <w:dir w:val="ltr">
                          <w:r>
                            <w:rPr>
                              <w:rFonts w:ascii="Arial" w:hAnsi="Arial" w:cs="Arial"/>
                              <w:color w:val="646464"/>
                              <w:sz w:val="26"/>
                              <w:szCs w:val="26"/>
                              <w:lang w:val="en-US"/>
                            </w:rPr>
                            <w:t>Peter</w:t>
                          </w:r>
                          <w:r>
                            <w:rPr>
                              <w:rFonts w:ascii="Arial" w:hAnsi="Arial" w:cs="Arial"/>
                              <w:color w:val="646464"/>
                              <w:sz w:val="26"/>
                              <w:szCs w:val="26"/>
                              <w:lang w:val="en-US"/>
                            </w:rPr>
                            <w:t xml:space="preserve">‬, </w:t>
                          </w:r>
                          <w:dir w:val="ltr">
                            <w:r>
                              <w:rPr>
                                <w:rFonts w:ascii="Arial" w:hAnsi="Arial" w:cs="Arial"/>
                                <w:color w:val="646464"/>
                                <w:sz w:val="26"/>
                                <w:szCs w:val="26"/>
                                <w:lang w:val="en-US"/>
                              </w:rPr>
                              <w:t>green-news</w:t>
                            </w:r>
                            <w:r>
                              <w:rPr>
                                <w:rFonts w:ascii="Arial" w:hAnsi="Arial" w:cs="Arial"/>
                                <w:color w:val="646464"/>
                                <w:sz w:val="26"/>
                                <w:szCs w:val="26"/>
                                <w:lang w:val="en-US"/>
                              </w:rPr>
                              <w:t xml:space="preserve">‬ </w:t>
                            </w:r>
                            <w:r>
                              <w:rPr>
                                <w:rFonts w:ascii="Arial" w:hAnsi="Arial" w:cs="Arial"/>
                                <w:noProof/>
                                <w:color w:val="1A1A1A"/>
                                <w:sz w:val="26"/>
                                <w:szCs w:val="26"/>
                                <w:lang w:val="en-US"/>
                              </w:rPr>
                              <w:drawing>
                                <wp:inline distT="0" distB="0" distL="0" distR="0" wp14:anchorId="2114B6D1" wp14:editId="32B6262D">
                                  <wp:extent cx="12700" cy="127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dir>
                        </w:dir>
                      </w:dir>
                    </w:dir>
                  </w:dir>
                </w:p>
              </w:tc>
            </w:tr>
          </w:tbl>
          <w:p w14:paraId="47F95288" w14:textId="77777777" w:rsidR="00135B97" w:rsidRDefault="00135B97">
            <w:pPr>
              <w:widowControl w:val="0"/>
              <w:autoSpaceDE w:val="0"/>
              <w:autoSpaceDN w:val="0"/>
              <w:adjustRightInd w:val="0"/>
              <w:rPr>
                <w:rFonts w:ascii="Arial" w:hAnsi="Arial" w:cs="Arial"/>
                <w:color w:val="1A1A1A"/>
                <w:sz w:val="26"/>
                <w:szCs w:val="26"/>
                <w:lang w:val="en-US"/>
              </w:rPr>
            </w:pPr>
          </w:p>
        </w:tc>
        <w:tc>
          <w:tcPr>
            <w:tcW w:w="9120" w:type="dxa"/>
            <w:vAlign w:val="center"/>
          </w:tcPr>
          <w:p w14:paraId="42E00638" w14:textId="77777777" w:rsidR="00135B97" w:rsidRDefault="00135B97">
            <w:pPr>
              <w:widowControl w:val="0"/>
              <w:autoSpaceDE w:val="0"/>
              <w:autoSpaceDN w:val="0"/>
              <w:adjustRightInd w:val="0"/>
              <w:rPr>
                <w:rFonts w:ascii="Arial" w:hAnsi="Arial" w:cs="Arial"/>
                <w:color w:val="1A1A1A"/>
                <w:sz w:val="26"/>
                <w:szCs w:val="26"/>
                <w:lang w:val="en-US"/>
              </w:rPr>
            </w:pPr>
          </w:p>
        </w:tc>
        <w:tc>
          <w:tcPr>
            <w:gridSpan w:val="0"/>
          </w:tcPr>
          <w:p w14:paraId="275B71E1" w14:textId="77777777" w:rsidR="00135B97" w:rsidRDefault="00135B97">
            <w:pPr>
              <w:widowControl w:val="0"/>
              <w:autoSpaceDE w:val="0"/>
              <w:autoSpaceDN w:val="0"/>
              <w:adjustRightInd w:val="0"/>
              <w:rPr>
                <w:rFonts w:ascii="Arial" w:hAnsi="Arial" w:cs="Arial"/>
                <w:color w:val="1A1A1A"/>
                <w:sz w:val="26"/>
                <w:szCs w:val="26"/>
                <w:lang w:val="en-US"/>
              </w:rPr>
            </w:pPr>
          </w:p>
        </w:tc>
      </w:tr>
    </w:tbl>
    <w:p w14:paraId="1A73A078" w14:textId="77777777" w:rsidR="00135B97" w:rsidRDefault="00135B97" w:rsidP="00135B97">
      <w:pPr>
        <w:widowControl w:val="0"/>
        <w:autoSpaceDE w:val="0"/>
        <w:autoSpaceDN w:val="0"/>
        <w:adjustRightInd w:val="0"/>
        <w:rPr>
          <w:rFonts w:ascii="Arial" w:hAnsi="Arial" w:cs="Arial"/>
          <w:color w:val="1A1A1A"/>
          <w:sz w:val="32"/>
          <w:szCs w:val="32"/>
          <w:lang w:val="en-US"/>
        </w:rPr>
      </w:pPr>
      <w:bookmarkStart w:id="0" w:name="_GoBack"/>
      <w:bookmarkEnd w:id="0"/>
    </w:p>
    <w:p w14:paraId="60DFE000" w14:textId="77777777" w:rsidR="00135B97" w:rsidRDefault="00135B97" w:rsidP="00135B97">
      <w:pPr>
        <w:widowControl w:val="0"/>
        <w:autoSpaceDE w:val="0"/>
        <w:autoSpaceDN w:val="0"/>
        <w:adjustRightInd w:val="0"/>
        <w:rPr>
          <w:rFonts w:ascii="Arial" w:hAnsi="Arial" w:cs="Arial"/>
          <w:color w:val="1A1A1A"/>
          <w:sz w:val="32"/>
          <w:szCs w:val="32"/>
          <w:lang w:val="en-US"/>
        </w:rPr>
      </w:pPr>
    </w:p>
    <w:p w14:paraId="07A159FD" w14:textId="77777777" w:rsidR="00280BDF" w:rsidRDefault="00280BDF" w:rsidP="00280BDF">
      <w:pPr>
        <w:widowControl w:val="0"/>
        <w:autoSpaceDE w:val="0"/>
        <w:autoSpaceDN w:val="0"/>
        <w:adjustRightInd w:val="0"/>
        <w:rPr>
          <w:rFonts w:ascii="Arial" w:hAnsi="Arial" w:cs="Arial"/>
          <w:color w:val="1A1A1A"/>
          <w:lang w:val="en-US"/>
        </w:rPr>
      </w:pPr>
      <w:r>
        <w:rPr>
          <w:rFonts w:ascii="Arial" w:hAnsi="Arial" w:cs="Arial"/>
          <w:color w:val="1A1A1A"/>
          <w:sz w:val="36"/>
          <w:szCs w:val="36"/>
          <w:lang w:val="en-US"/>
        </w:rPr>
        <w:t xml:space="preserve">OMB Review - Comments from the Civic Hospital </w:t>
      </w:r>
      <w:proofErr w:type="spellStart"/>
      <w:r>
        <w:rPr>
          <w:rFonts w:ascii="Arial" w:hAnsi="Arial" w:cs="Arial"/>
          <w:color w:val="1A1A1A"/>
          <w:sz w:val="36"/>
          <w:szCs w:val="36"/>
          <w:lang w:val="en-US"/>
        </w:rPr>
        <w:t>Neighbourhood</w:t>
      </w:r>
      <w:proofErr w:type="spellEnd"/>
      <w:r>
        <w:rPr>
          <w:rFonts w:ascii="Arial" w:hAnsi="Arial" w:cs="Arial"/>
          <w:color w:val="1A1A1A"/>
          <w:sz w:val="36"/>
          <w:szCs w:val="36"/>
          <w:lang w:val="en-US"/>
        </w:rPr>
        <w:t xml:space="preserve"> Association, Ottawa, Ontario</w:t>
      </w:r>
    </w:p>
    <w:p w14:paraId="5405E74C" w14:textId="77777777" w:rsidR="00280BDF" w:rsidRDefault="00280BDF" w:rsidP="00280BDF">
      <w:pPr>
        <w:widowControl w:val="0"/>
        <w:autoSpaceDE w:val="0"/>
        <w:autoSpaceDN w:val="0"/>
        <w:adjustRightInd w:val="0"/>
        <w:rPr>
          <w:rFonts w:ascii="Arial" w:hAnsi="Arial" w:cs="Arial"/>
          <w:color w:val="1A1A1A"/>
          <w:lang w:val="en-US"/>
        </w:rPr>
      </w:pPr>
    </w:p>
    <w:p w14:paraId="018724C8" w14:textId="77777777" w:rsidR="00135B97" w:rsidRDefault="00135B97" w:rsidP="00135B97">
      <w:pPr>
        <w:widowControl w:val="0"/>
        <w:autoSpaceDE w:val="0"/>
        <w:autoSpaceDN w:val="0"/>
        <w:adjustRightInd w:val="0"/>
        <w:rPr>
          <w:rFonts w:ascii="Arial" w:hAnsi="Arial" w:cs="Arial"/>
          <w:color w:val="1A1A1A"/>
          <w:sz w:val="32"/>
          <w:szCs w:val="32"/>
          <w:lang w:val="en-US"/>
        </w:rPr>
      </w:pPr>
    </w:p>
    <w:p w14:paraId="389ABBC9" w14:textId="77777777" w:rsidR="00135B97" w:rsidRDefault="00135B97" w:rsidP="00135B97">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 xml:space="preserve">The following represents the Civic Hospital </w:t>
      </w:r>
      <w:proofErr w:type="spellStart"/>
      <w:r>
        <w:rPr>
          <w:rFonts w:ascii="Arial" w:hAnsi="Arial" w:cs="Arial"/>
          <w:color w:val="1A1A1A"/>
          <w:sz w:val="26"/>
          <w:szCs w:val="26"/>
          <w:lang w:val="en-US"/>
        </w:rPr>
        <w:t>Neighbourhood</w:t>
      </w:r>
      <w:proofErr w:type="spellEnd"/>
      <w:r>
        <w:rPr>
          <w:rFonts w:ascii="Arial" w:hAnsi="Arial" w:cs="Arial"/>
          <w:color w:val="1A1A1A"/>
          <w:sz w:val="26"/>
          <w:szCs w:val="26"/>
          <w:lang w:val="en-US"/>
        </w:rPr>
        <w:t xml:space="preserve"> Association's (CHNA) comments related to the OMB review.</w:t>
      </w:r>
    </w:p>
    <w:p w14:paraId="2322F187" w14:textId="77777777" w:rsidR="00135B97" w:rsidRDefault="00135B97" w:rsidP="00135B97">
      <w:pPr>
        <w:widowControl w:val="0"/>
        <w:autoSpaceDE w:val="0"/>
        <w:autoSpaceDN w:val="0"/>
        <w:adjustRightInd w:val="0"/>
        <w:rPr>
          <w:rFonts w:ascii="Arial" w:hAnsi="Arial" w:cs="Arial"/>
          <w:color w:val="1A1A1A"/>
          <w:sz w:val="26"/>
          <w:szCs w:val="26"/>
          <w:lang w:val="en-US"/>
        </w:rPr>
      </w:pPr>
    </w:p>
    <w:p w14:paraId="0E988F61" w14:textId="77777777" w:rsidR="00135B97" w:rsidRDefault="00135B97" w:rsidP="00135B97">
      <w:pPr>
        <w:widowControl w:val="0"/>
        <w:numPr>
          <w:ilvl w:val="0"/>
          <w:numId w:val="1"/>
        </w:numPr>
        <w:tabs>
          <w:tab w:val="left" w:pos="220"/>
          <w:tab w:val="left" w:pos="720"/>
        </w:tabs>
        <w:autoSpaceDE w:val="0"/>
        <w:autoSpaceDN w:val="0"/>
        <w:adjustRightInd w:val="0"/>
        <w:ind w:hanging="720"/>
        <w:rPr>
          <w:rFonts w:ascii="Arial" w:hAnsi="Arial" w:cs="Arial"/>
          <w:color w:val="262626"/>
          <w:sz w:val="26"/>
          <w:szCs w:val="26"/>
          <w:lang w:val="en-US"/>
        </w:rPr>
      </w:pPr>
    </w:p>
    <w:p w14:paraId="0DC12CB8" w14:textId="77777777" w:rsidR="00135B97" w:rsidRDefault="00135B97" w:rsidP="00135B97">
      <w:pPr>
        <w:widowControl w:val="0"/>
        <w:autoSpaceDE w:val="0"/>
        <w:autoSpaceDN w:val="0"/>
        <w:adjustRightInd w:val="0"/>
        <w:rPr>
          <w:rFonts w:ascii="Arial" w:hAnsi="Arial" w:cs="Arial"/>
          <w:color w:val="1A1A1A"/>
          <w:sz w:val="26"/>
          <w:szCs w:val="26"/>
          <w:lang w:val="en-US"/>
        </w:rPr>
      </w:pPr>
    </w:p>
    <w:p w14:paraId="46DD5653" w14:textId="77777777" w:rsidR="00135B97" w:rsidRDefault="00135B97" w:rsidP="00135B97">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CHNA sees little rationale for the operation of the Ontario Municipal Board in its current configuration. Planning decisions by Municipalities should, in the vast majority of circumstances, be final.  The decisions of elected officials acting on behalf of citizens should not be subject to appeal at a quasi-judicial board where it has been demonstrated that the interests of those citizens to envision and create the community they desire is given little weight.  </w:t>
      </w:r>
    </w:p>
    <w:p w14:paraId="344592EF" w14:textId="77777777" w:rsidR="00135B97" w:rsidRDefault="00135B97" w:rsidP="00135B97">
      <w:pPr>
        <w:widowControl w:val="0"/>
        <w:autoSpaceDE w:val="0"/>
        <w:autoSpaceDN w:val="0"/>
        <w:adjustRightInd w:val="0"/>
        <w:rPr>
          <w:rFonts w:ascii="Arial" w:hAnsi="Arial" w:cs="Arial"/>
          <w:color w:val="1A1A1A"/>
          <w:sz w:val="26"/>
          <w:szCs w:val="26"/>
          <w:lang w:val="en-US"/>
        </w:rPr>
      </w:pPr>
    </w:p>
    <w:p w14:paraId="6C229A10" w14:textId="77777777" w:rsidR="00135B97" w:rsidRDefault="00135B97" w:rsidP="00135B97">
      <w:pPr>
        <w:widowControl w:val="0"/>
        <w:numPr>
          <w:ilvl w:val="0"/>
          <w:numId w:val="2"/>
        </w:numPr>
        <w:tabs>
          <w:tab w:val="left" w:pos="220"/>
          <w:tab w:val="left" w:pos="720"/>
        </w:tabs>
        <w:autoSpaceDE w:val="0"/>
        <w:autoSpaceDN w:val="0"/>
        <w:adjustRightInd w:val="0"/>
        <w:ind w:hanging="720"/>
        <w:rPr>
          <w:rFonts w:ascii="Arial" w:hAnsi="Arial" w:cs="Arial"/>
          <w:color w:val="262626"/>
          <w:sz w:val="26"/>
          <w:szCs w:val="26"/>
          <w:lang w:val="en-US"/>
        </w:rPr>
      </w:pPr>
    </w:p>
    <w:p w14:paraId="067D3D58" w14:textId="77777777" w:rsidR="00135B97" w:rsidRDefault="00135B97" w:rsidP="00135B97">
      <w:pPr>
        <w:widowControl w:val="0"/>
        <w:autoSpaceDE w:val="0"/>
        <w:autoSpaceDN w:val="0"/>
        <w:adjustRightInd w:val="0"/>
        <w:rPr>
          <w:rFonts w:ascii="Arial" w:hAnsi="Arial" w:cs="Arial"/>
          <w:color w:val="1A1A1A"/>
          <w:sz w:val="26"/>
          <w:szCs w:val="26"/>
          <w:lang w:val="en-US"/>
        </w:rPr>
      </w:pPr>
    </w:p>
    <w:p w14:paraId="0DA7113E" w14:textId="77777777" w:rsidR="00135B97" w:rsidRDefault="00135B97" w:rsidP="00135B97">
      <w:pPr>
        <w:widowControl w:val="0"/>
        <w:autoSpaceDE w:val="0"/>
        <w:autoSpaceDN w:val="0"/>
        <w:adjustRightInd w:val="0"/>
        <w:rPr>
          <w:rFonts w:ascii="Arial" w:hAnsi="Arial" w:cs="Arial"/>
          <w:color w:val="1A1A1A"/>
          <w:sz w:val="26"/>
          <w:szCs w:val="26"/>
          <w:lang w:val="en-US"/>
        </w:rPr>
      </w:pPr>
      <w:r>
        <w:rPr>
          <w:rFonts w:ascii="Arial" w:hAnsi="Arial" w:cs="Arial"/>
          <w:color w:val="262626"/>
          <w:sz w:val="26"/>
          <w:szCs w:val="26"/>
          <w:lang w:val="en-US"/>
        </w:rPr>
        <w:t xml:space="preserve">Should residents feel their </w:t>
      </w:r>
      <w:proofErr w:type="gramStart"/>
      <w:r>
        <w:rPr>
          <w:rFonts w:ascii="Arial" w:hAnsi="Arial" w:cs="Arial"/>
          <w:color w:val="262626"/>
          <w:sz w:val="26"/>
          <w:szCs w:val="26"/>
          <w:lang w:val="en-US"/>
        </w:rPr>
        <w:t>views have not been adequately represented by their elected officials</w:t>
      </w:r>
      <w:proofErr w:type="gramEnd"/>
      <w:r>
        <w:rPr>
          <w:rFonts w:ascii="Arial" w:hAnsi="Arial" w:cs="Arial"/>
          <w:color w:val="262626"/>
          <w:sz w:val="26"/>
          <w:szCs w:val="26"/>
          <w:lang w:val="en-US"/>
        </w:rPr>
        <w:t>, these officials can be voted out of office.  No such recourse is available to residents with respect to the OMB.</w:t>
      </w:r>
    </w:p>
    <w:p w14:paraId="5D4D3ACF" w14:textId="77777777" w:rsidR="00135B97" w:rsidRDefault="00135B97" w:rsidP="00135B97">
      <w:pPr>
        <w:widowControl w:val="0"/>
        <w:autoSpaceDE w:val="0"/>
        <w:autoSpaceDN w:val="0"/>
        <w:adjustRightInd w:val="0"/>
        <w:rPr>
          <w:rFonts w:ascii="Arial" w:hAnsi="Arial" w:cs="Arial"/>
          <w:color w:val="1A1A1A"/>
          <w:sz w:val="26"/>
          <w:szCs w:val="26"/>
          <w:lang w:val="en-US"/>
        </w:rPr>
      </w:pPr>
    </w:p>
    <w:p w14:paraId="76D5F562" w14:textId="77777777" w:rsidR="00135B97" w:rsidRDefault="00135B97" w:rsidP="00135B97">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 xml:space="preserve">In the rare case when a decision taken by elected Municipal officials is so egregious as to require an appeal, a </w:t>
      </w:r>
      <w:proofErr w:type="gramStart"/>
      <w:r>
        <w:rPr>
          <w:rFonts w:ascii="Arial" w:hAnsi="Arial" w:cs="Arial"/>
          <w:color w:val="1A1A1A"/>
          <w:sz w:val="26"/>
          <w:szCs w:val="26"/>
          <w:lang w:val="en-US"/>
        </w:rPr>
        <w:t>much modified</w:t>
      </w:r>
      <w:proofErr w:type="gramEnd"/>
      <w:r>
        <w:rPr>
          <w:rFonts w:ascii="Arial" w:hAnsi="Arial" w:cs="Arial"/>
          <w:color w:val="1A1A1A"/>
          <w:sz w:val="26"/>
          <w:szCs w:val="26"/>
          <w:lang w:val="en-US"/>
        </w:rPr>
        <w:t xml:space="preserve"> OMB could be the appropriate body to hear such an appeal, but only if it is re-structured to encourage, support and respect public participation.</w:t>
      </w:r>
    </w:p>
    <w:p w14:paraId="093396CF" w14:textId="77777777" w:rsidR="00135B97" w:rsidRDefault="00135B97" w:rsidP="00135B97">
      <w:pPr>
        <w:widowControl w:val="0"/>
        <w:numPr>
          <w:ilvl w:val="0"/>
          <w:numId w:val="3"/>
        </w:numPr>
        <w:tabs>
          <w:tab w:val="left" w:pos="220"/>
          <w:tab w:val="left" w:pos="720"/>
        </w:tabs>
        <w:autoSpaceDE w:val="0"/>
        <w:autoSpaceDN w:val="0"/>
        <w:adjustRightInd w:val="0"/>
        <w:ind w:hanging="720"/>
        <w:rPr>
          <w:rFonts w:ascii="Arial" w:hAnsi="Arial" w:cs="Arial"/>
          <w:color w:val="262626"/>
          <w:sz w:val="26"/>
          <w:szCs w:val="26"/>
          <w:lang w:val="en-US"/>
        </w:rPr>
      </w:pPr>
      <w:r>
        <w:rPr>
          <w:rFonts w:ascii="Arial" w:hAnsi="Arial" w:cs="Arial"/>
          <w:b/>
          <w:bCs/>
          <w:color w:val="262626"/>
          <w:sz w:val="26"/>
          <w:szCs w:val="26"/>
          <w:lang w:val="en-US"/>
        </w:rPr>
        <w:t>Jurisdiction and powers</w:t>
      </w:r>
      <w:r>
        <w:rPr>
          <w:rFonts w:ascii="Arial" w:hAnsi="Arial" w:cs="Arial"/>
          <w:color w:val="262626"/>
          <w:sz w:val="26"/>
          <w:szCs w:val="26"/>
          <w:lang w:val="en-US"/>
        </w:rPr>
        <w:t>:</w:t>
      </w:r>
    </w:p>
    <w:p w14:paraId="1B2D2D63" w14:textId="77777777" w:rsidR="00135B97" w:rsidRDefault="00135B97" w:rsidP="00135B97">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 xml:space="preserve">CHNA agrees with the </w:t>
      </w:r>
      <w:proofErr w:type="spellStart"/>
      <w:r>
        <w:rPr>
          <w:rFonts w:ascii="Arial" w:hAnsi="Arial" w:cs="Arial"/>
          <w:color w:val="1A1A1A"/>
          <w:sz w:val="26"/>
          <w:szCs w:val="26"/>
          <w:lang w:val="en-US"/>
        </w:rPr>
        <w:t>Greenspace</w:t>
      </w:r>
      <w:proofErr w:type="spellEnd"/>
      <w:r>
        <w:rPr>
          <w:rFonts w:ascii="Arial" w:hAnsi="Arial" w:cs="Arial"/>
          <w:color w:val="1A1A1A"/>
          <w:sz w:val="26"/>
          <w:szCs w:val="26"/>
          <w:lang w:val="en-US"/>
        </w:rPr>
        <w:t xml:space="preserve"> </w:t>
      </w:r>
      <w:proofErr w:type="gramStart"/>
      <w:r>
        <w:rPr>
          <w:rFonts w:ascii="Arial" w:hAnsi="Arial" w:cs="Arial"/>
          <w:color w:val="1A1A1A"/>
          <w:sz w:val="26"/>
          <w:szCs w:val="26"/>
          <w:lang w:val="en-US"/>
        </w:rPr>
        <w:t>Alliance that</w:t>
      </w:r>
      <w:proofErr w:type="gramEnd"/>
      <w:r>
        <w:rPr>
          <w:rFonts w:ascii="Arial" w:hAnsi="Arial" w:cs="Arial"/>
          <w:color w:val="1A1A1A"/>
          <w:sz w:val="26"/>
          <w:szCs w:val="26"/>
          <w:lang w:val="en-US"/>
        </w:rPr>
        <w:t xml:space="preserve"> "</w:t>
      </w:r>
      <w:r>
        <w:rPr>
          <w:rFonts w:ascii="Arial" w:hAnsi="Arial" w:cs="Arial"/>
          <w:i/>
          <w:iCs/>
          <w:color w:val="1A1A1A"/>
          <w:sz w:val="26"/>
          <w:szCs w:val="26"/>
          <w:lang w:val="en-US"/>
        </w:rPr>
        <w:t xml:space="preserve">The role of the Ontario Municipal Board should be significantly modified... In true appeal court fashion, the standard outcome of an appeal should be that the matter is sent back to the municipality, with an appropriate clarification or guidance </w:t>
      </w:r>
      <w:r>
        <w:rPr>
          <w:rFonts w:ascii="Arial" w:hAnsi="Arial" w:cs="Arial"/>
          <w:i/>
          <w:iCs/>
          <w:color w:val="1A1A1A"/>
          <w:sz w:val="26"/>
          <w:szCs w:val="26"/>
          <w:lang w:val="en-US"/>
        </w:rPr>
        <w:lastRenderedPageBreak/>
        <w:t>regarding interpretation. We note that current law (Planning Act, s. 24.3ff.) requires the Board to send the dispute back if new information is brought to bear on the matter that Council had not or could not have considered, but this appears to be interpreted very narrowly. The mountain of new evidence that typically is brought forward in preparation of a hearing, arguing one side or the other, is not considered "new information.</w:t>
      </w:r>
      <w:r>
        <w:rPr>
          <w:rFonts w:ascii="Arial" w:hAnsi="Arial" w:cs="Arial"/>
          <w:color w:val="1A1A1A"/>
          <w:sz w:val="26"/>
          <w:szCs w:val="26"/>
          <w:lang w:val="en-US"/>
        </w:rPr>
        <w:t>"</w:t>
      </w:r>
    </w:p>
    <w:p w14:paraId="2F32EC8F" w14:textId="77777777" w:rsidR="00135B97" w:rsidRDefault="00135B97" w:rsidP="00135B97">
      <w:pPr>
        <w:widowControl w:val="0"/>
        <w:autoSpaceDE w:val="0"/>
        <w:autoSpaceDN w:val="0"/>
        <w:adjustRightInd w:val="0"/>
        <w:rPr>
          <w:rFonts w:ascii="Arial" w:hAnsi="Arial" w:cs="Arial"/>
          <w:color w:val="1A1A1A"/>
          <w:sz w:val="26"/>
          <w:szCs w:val="26"/>
          <w:lang w:val="en-US"/>
        </w:rPr>
      </w:pPr>
    </w:p>
    <w:p w14:paraId="4FA9E943" w14:textId="77777777" w:rsidR="00135B97" w:rsidRDefault="00135B97" w:rsidP="00135B97">
      <w:pPr>
        <w:widowControl w:val="0"/>
        <w:numPr>
          <w:ilvl w:val="0"/>
          <w:numId w:val="4"/>
        </w:numPr>
        <w:tabs>
          <w:tab w:val="left" w:pos="220"/>
          <w:tab w:val="left" w:pos="720"/>
        </w:tabs>
        <w:autoSpaceDE w:val="0"/>
        <w:autoSpaceDN w:val="0"/>
        <w:adjustRightInd w:val="0"/>
        <w:ind w:hanging="720"/>
        <w:rPr>
          <w:rFonts w:ascii="Arial" w:hAnsi="Arial" w:cs="Arial"/>
          <w:color w:val="262626"/>
          <w:sz w:val="26"/>
          <w:szCs w:val="26"/>
          <w:lang w:val="en-US"/>
        </w:rPr>
      </w:pPr>
    </w:p>
    <w:p w14:paraId="44669BD6" w14:textId="77777777" w:rsidR="00135B97" w:rsidRDefault="00135B97" w:rsidP="00135B97">
      <w:pPr>
        <w:widowControl w:val="0"/>
        <w:autoSpaceDE w:val="0"/>
        <w:autoSpaceDN w:val="0"/>
        <w:adjustRightInd w:val="0"/>
        <w:rPr>
          <w:rFonts w:ascii="Arial" w:hAnsi="Arial" w:cs="Arial"/>
          <w:color w:val="1A1A1A"/>
          <w:sz w:val="26"/>
          <w:szCs w:val="26"/>
          <w:lang w:val="en-US"/>
        </w:rPr>
      </w:pPr>
    </w:p>
    <w:p w14:paraId="2F753B2F" w14:textId="77777777" w:rsidR="00135B97" w:rsidRDefault="00135B97" w:rsidP="00135B97">
      <w:pPr>
        <w:widowControl w:val="0"/>
        <w:autoSpaceDE w:val="0"/>
        <w:autoSpaceDN w:val="0"/>
        <w:adjustRightInd w:val="0"/>
        <w:rPr>
          <w:rFonts w:ascii="Arial" w:hAnsi="Arial" w:cs="Arial"/>
          <w:sz w:val="26"/>
          <w:szCs w:val="26"/>
          <w:lang w:val="en-US"/>
        </w:rPr>
      </w:pPr>
      <w:r>
        <w:rPr>
          <w:rFonts w:ascii="Arial" w:hAnsi="Arial" w:cs="Arial"/>
          <w:color w:val="1A1A1A"/>
          <w:sz w:val="26"/>
          <w:szCs w:val="26"/>
          <w:lang w:val="en-US"/>
        </w:rPr>
        <w:t>In fact</w:t>
      </w:r>
      <w:proofErr w:type="gramStart"/>
      <w:r>
        <w:rPr>
          <w:rFonts w:ascii="Arial" w:hAnsi="Arial" w:cs="Arial"/>
          <w:color w:val="1A1A1A"/>
          <w:sz w:val="26"/>
          <w:szCs w:val="26"/>
          <w:lang w:val="en-US"/>
        </w:rPr>
        <w:t>,  the</w:t>
      </w:r>
      <w:proofErr w:type="gramEnd"/>
      <w:r>
        <w:rPr>
          <w:rFonts w:ascii="Arial" w:hAnsi="Arial" w:cs="Arial"/>
          <w:color w:val="1A1A1A"/>
          <w:sz w:val="26"/>
          <w:szCs w:val="26"/>
          <w:lang w:val="en-US"/>
        </w:rPr>
        <w:t xml:space="preserve"> OMB has taken upon itself to introduce new evaluation criteria into appeals.  For example, the OMB established that the nebulous term "wow factor" could define what constitutes a landmark building exempt from zoning height restrictions. This was contrary to the City of Ottawa's desire to create "certainty" in zoning heights - something that both elected officials and the citizens of Ottawa who elected them, wanted. Such a definition should have been left in the hands of the municipality and it's citizens.</w:t>
      </w:r>
    </w:p>
    <w:p w14:paraId="3F6C36C4" w14:textId="77777777" w:rsidR="00135B97" w:rsidRDefault="00135B97" w:rsidP="00135B97">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 xml:space="preserve">CHNA also wholeheartedly </w:t>
      </w:r>
      <w:proofErr w:type="gramStart"/>
      <w:r>
        <w:rPr>
          <w:rFonts w:ascii="Arial" w:hAnsi="Arial" w:cs="Arial"/>
          <w:color w:val="1A1A1A"/>
          <w:sz w:val="26"/>
          <w:szCs w:val="26"/>
          <w:lang w:val="en-US"/>
        </w:rPr>
        <w:t>agrees that</w:t>
      </w:r>
      <w:proofErr w:type="gramEnd"/>
      <w:r>
        <w:rPr>
          <w:rFonts w:ascii="Arial" w:hAnsi="Arial" w:cs="Arial"/>
          <w:color w:val="1A1A1A"/>
          <w:sz w:val="26"/>
          <w:szCs w:val="26"/>
          <w:lang w:val="en-US"/>
        </w:rPr>
        <w:t xml:space="preserve"> "</w:t>
      </w:r>
      <w:r>
        <w:rPr>
          <w:rFonts w:ascii="Arial" w:hAnsi="Arial" w:cs="Arial"/>
          <w:i/>
          <w:iCs/>
          <w:color w:val="1A1A1A"/>
          <w:sz w:val="26"/>
          <w:szCs w:val="26"/>
          <w:lang w:val="en-US"/>
        </w:rPr>
        <w:t xml:space="preserve">The OMB's role is far too strong. All parties to discussions at the municipal level take into account 'what the OMB will do.' </w:t>
      </w:r>
      <w:r>
        <w:rPr>
          <w:rFonts w:ascii="Arial" w:hAnsi="Arial" w:cs="Arial"/>
          <w:color w:val="1A1A1A"/>
          <w:sz w:val="26"/>
          <w:szCs w:val="26"/>
          <w:lang w:val="en-US"/>
        </w:rPr>
        <w:t xml:space="preserve">" CHNA and other community associations are well aware that some discussions at Municipal Planning Committees and City Councils are undertaken under the understanding that decisions can be appealed to the OMB, which, as </w:t>
      </w:r>
      <w:proofErr w:type="spellStart"/>
      <w:r>
        <w:rPr>
          <w:rFonts w:ascii="Arial" w:hAnsi="Arial" w:cs="Arial"/>
          <w:color w:val="1A1A1A"/>
          <w:sz w:val="26"/>
          <w:szCs w:val="26"/>
          <w:lang w:val="en-US"/>
        </w:rPr>
        <w:t>Greenspace</w:t>
      </w:r>
      <w:proofErr w:type="spellEnd"/>
      <w:r>
        <w:rPr>
          <w:rFonts w:ascii="Arial" w:hAnsi="Arial" w:cs="Arial"/>
          <w:color w:val="1A1A1A"/>
          <w:sz w:val="26"/>
          <w:szCs w:val="26"/>
          <w:lang w:val="en-US"/>
        </w:rPr>
        <w:t xml:space="preserve"> Alliance aptly and succinctly notes</w:t>
      </w:r>
      <w:proofErr w:type="gramStart"/>
      <w:r>
        <w:rPr>
          <w:rFonts w:ascii="Arial" w:hAnsi="Arial" w:cs="Arial"/>
          <w:color w:val="1A1A1A"/>
          <w:sz w:val="26"/>
          <w:szCs w:val="26"/>
          <w:lang w:val="en-US"/>
        </w:rPr>
        <w:t>..</w:t>
      </w:r>
      <w:proofErr w:type="gramEnd"/>
      <w:r>
        <w:rPr>
          <w:rFonts w:ascii="Arial" w:hAnsi="Arial" w:cs="Arial"/>
          <w:color w:val="1A1A1A"/>
          <w:sz w:val="26"/>
          <w:szCs w:val="26"/>
          <w:lang w:val="en-US"/>
        </w:rPr>
        <w:t xml:space="preserve"> "</w:t>
      </w:r>
      <w:proofErr w:type="gramStart"/>
      <w:r>
        <w:rPr>
          <w:rFonts w:ascii="Arial" w:hAnsi="Arial" w:cs="Arial"/>
          <w:i/>
          <w:iCs/>
          <w:color w:val="1A1A1A"/>
          <w:sz w:val="26"/>
          <w:szCs w:val="26"/>
          <w:lang w:val="en-US"/>
        </w:rPr>
        <w:t>hampers</w:t>
      </w:r>
      <w:proofErr w:type="gramEnd"/>
      <w:r>
        <w:rPr>
          <w:rFonts w:ascii="Arial" w:hAnsi="Arial" w:cs="Arial"/>
          <w:i/>
          <w:iCs/>
          <w:color w:val="1A1A1A"/>
          <w:sz w:val="26"/>
          <w:szCs w:val="26"/>
          <w:lang w:val="en-US"/>
        </w:rPr>
        <w:t xml:space="preserve"> dialogue, mutual understanding and consensus seeking at the local level. The mountain of evidence that later appears at the appeal hearing should have been tabled as part of the community discussion."</w:t>
      </w:r>
    </w:p>
    <w:p w14:paraId="357DDBFD" w14:textId="77777777" w:rsidR="00135B97" w:rsidRDefault="00135B97" w:rsidP="00135B97">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The decisions of elected officials acting on behalf of citizens should not be subject to appeal at a quasi-judicial board where it has been demonstrated that the interests of those citizens to envision and create the community they desire is given little weight.  </w:t>
      </w:r>
    </w:p>
    <w:p w14:paraId="386D4A22" w14:textId="77777777" w:rsidR="00135B97" w:rsidRDefault="00135B97" w:rsidP="00135B97">
      <w:pPr>
        <w:widowControl w:val="0"/>
        <w:autoSpaceDE w:val="0"/>
        <w:autoSpaceDN w:val="0"/>
        <w:adjustRightInd w:val="0"/>
        <w:rPr>
          <w:rFonts w:ascii="Arial" w:hAnsi="Arial" w:cs="Arial"/>
          <w:color w:val="1A1A1A"/>
          <w:sz w:val="26"/>
          <w:szCs w:val="26"/>
          <w:lang w:val="en-US"/>
        </w:rPr>
      </w:pPr>
    </w:p>
    <w:p w14:paraId="53C1D04B" w14:textId="77777777" w:rsidR="00135B97" w:rsidRDefault="00135B97" w:rsidP="00135B97">
      <w:pPr>
        <w:widowControl w:val="0"/>
        <w:numPr>
          <w:ilvl w:val="0"/>
          <w:numId w:val="5"/>
        </w:numPr>
        <w:tabs>
          <w:tab w:val="left" w:pos="220"/>
          <w:tab w:val="left" w:pos="720"/>
        </w:tabs>
        <w:autoSpaceDE w:val="0"/>
        <w:autoSpaceDN w:val="0"/>
        <w:adjustRightInd w:val="0"/>
        <w:ind w:hanging="720"/>
        <w:rPr>
          <w:rFonts w:ascii="Arial" w:hAnsi="Arial" w:cs="Arial"/>
          <w:color w:val="262626"/>
          <w:sz w:val="26"/>
          <w:szCs w:val="26"/>
          <w:lang w:val="en-US"/>
        </w:rPr>
      </w:pPr>
      <w:r>
        <w:rPr>
          <w:rFonts w:ascii="Arial" w:hAnsi="Arial" w:cs="Arial"/>
          <w:b/>
          <w:bCs/>
          <w:color w:val="262626"/>
          <w:sz w:val="26"/>
          <w:szCs w:val="26"/>
          <w:lang w:val="en-US"/>
        </w:rPr>
        <w:t>Meaningful citizen participation and local perspective</w:t>
      </w:r>
      <w:r>
        <w:rPr>
          <w:rFonts w:ascii="Arial" w:hAnsi="Arial" w:cs="Arial"/>
          <w:color w:val="262626"/>
          <w:sz w:val="26"/>
          <w:szCs w:val="26"/>
          <w:lang w:val="en-US"/>
        </w:rPr>
        <w:t>: </w:t>
      </w:r>
    </w:p>
    <w:p w14:paraId="4D60B432" w14:textId="77777777" w:rsidR="00135B97" w:rsidRDefault="00135B97" w:rsidP="00135B97">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In 2015, CHNA had a very negative experience with respect to participating in an OMB Process.  CHNA had hoped to participate as a Party to the Proceedings. However, our attempts to be considered as such were discouraged by aggressive counsel for another Party, who insisted that CHNA be represented by legal counsel. We were puzzled that the OMB was conspicuous by its non-participation in a drawn-out e-mail discussion and we were discouraged that the OMB did not come forward to support our participation. </w:t>
      </w:r>
    </w:p>
    <w:p w14:paraId="11EDD209" w14:textId="77777777" w:rsidR="00135B97" w:rsidRDefault="00135B97" w:rsidP="00135B97">
      <w:pPr>
        <w:widowControl w:val="0"/>
        <w:autoSpaceDE w:val="0"/>
        <w:autoSpaceDN w:val="0"/>
        <w:adjustRightInd w:val="0"/>
        <w:rPr>
          <w:rFonts w:ascii="Arial" w:hAnsi="Arial" w:cs="Arial"/>
          <w:color w:val="1A1A1A"/>
          <w:sz w:val="26"/>
          <w:szCs w:val="26"/>
          <w:lang w:val="en-US"/>
        </w:rPr>
      </w:pPr>
    </w:p>
    <w:p w14:paraId="6B9F5E03" w14:textId="77777777" w:rsidR="00135B97" w:rsidRDefault="00135B97" w:rsidP="00135B97">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In the end, the intimidation tactics of the counsel for the other Party succeeded and, unable to afford legal representation, we reluctantly agreed to the lesser status of Participant in the proceedings. While we understand that it is the responsibility of legal counsel to aggressively protect the rights of clients, to CHNA it is a further indication that community organizations are at a disadvantage at these proceedings, with limited resources available to adequately support, or even defend, their participation. (</w:t>
      </w:r>
      <w:r>
        <w:rPr>
          <w:rFonts w:ascii="Arial" w:hAnsi="Arial" w:cs="Arial"/>
          <w:i/>
          <w:iCs/>
          <w:color w:val="1A1A1A"/>
          <w:sz w:val="26"/>
          <w:szCs w:val="26"/>
          <w:lang w:val="en-US"/>
        </w:rPr>
        <w:t>Correspondence related to this matter is available upon request.)</w:t>
      </w:r>
    </w:p>
    <w:p w14:paraId="5BE68283" w14:textId="77777777" w:rsidR="00135B97" w:rsidRDefault="00135B97" w:rsidP="00135B97">
      <w:pPr>
        <w:widowControl w:val="0"/>
        <w:autoSpaceDE w:val="0"/>
        <w:autoSpaceDN w:val="0"/>
        <w:adjustRightInd w:val="0"/>
        <w:rPr>
          <w:rFonts w:ascii="Arial" w:hAnsi="Arial" w:cs="Arial"/>
          <w:i/>
          <w:iCs/>
          <w:color w:val="1A1A1A"/>
          <w:sz w:val="26"/>
          <w:szCs w:val="26"/>
          <w:lang w:val="en-US"/>
        </w:rPr>
      </w:pPr>
    </w:p>
    <w:p w14:paraId="3529CB4F" w14:textId="77777777" w:rsidR="00135B97" w:rsidRDefault="00135B97" w:rsidP="00135B97">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 xml:space="preserve">The OMB, should it continue to exist, must level the playing field between Parties who are hired to represent clients and individuals and groups who volunteer their time to take on an OMB appeal.  These individuals and </w:t>
      </w:r>
      <w:proofErr w:type="gramStart"/>
      <w:r>
        <w:rPr>
          <w:rFonts w:ascii="Arial" w:hAnsi="Arial" w:cs="Arial"/>
          <w:color w:val="1A1A1A"/>
          <w:sz w:val="26"/>
          <w:szCs w:val="26"/>
          <w:lang w:val="en-US"/>
        </w:rPr>
        <w:t>groups  might</w:t>
      </w:r>
      <w:proofErr w:type="gramEnd"/>
      <w:r>
        <w:rPr>
          <w:rFonts w:ascii="Arial" w:hAnsi="Arial" w:cs="Arial"/>
          <w:color w:val="1A1A1A"/>
          <w:sz w:val="26"/>
          <w:szCs w:val="26"/>
          <w:lang w:val="en-US"/>
        </w:rPr>
        <w:t xml:space="preserve"> have lesser legal capacity but have extensive local knowledge and commitment to the well-being of their communities.  The OMB must always be </w:t>
      </w:r>
      <w:proofErr w:type="spellStart"/>
      <w:r>
        <w:rPr>
          <w:rFonts w:ascii="Arial" w:hAnsi="Arial" w:cs="Arial"/>
          <w:color w:val="1A1A1A"/>
          <w:sz w:val="26"/>
          <w:szCs w:val="26"/>
          <w:lang w:val="en-US"/>
        </w:rPr>
        <w:t>cogniscent</w:t>
      </w:r>
      <w:proofErr w:type="spellEnd"/>
      <w:r>
        <w:rPr>
          <w:rFonts w:ascii="Arial" w:hAnsi="Arial" w:cs="Arial"/>
          <w:color w:val="1A1A1A"/>
          <w:sz w:val="26"/>
          <w:szCs w:val="26"/>
          <w:lang w:val="en-US"/>
        </w:rPr>
        <w:t xml:space="preserve"> of the fact that it is individual residents and communities who live with the long-term ramifications of its decisions.</w:t>
      </w:r>
    </w:p>
    <w:p w14:paraId="1F6968DF" w14:textId="77777777" w:rsidR="00135B97" w:rsidRDefault="00135B97" w:rsidP="00135B97">
      <w:pPr>
        <w:widowControl w:val="0"/>
        <w:numPr>
          <w:ilvl w:val="0"/>
          <w:numId w:val="6"/>
        </w:numPr>
        <w:tabs>
          <w:tab w:val="left" w:pos="220"/>
          <w:tab w:val="left" w:pos="720"/>
        </w:tabs>
        <w:autoSpaceDE w:val="0"/>
        <w:autoSpaceDN w:val="0"/>
        <w:adjustRightInd w:val="0"/>
        <w:ind w:hanging="720"/>
        <w:rPr>
          <w:rFonts w:ascii="Arial" w:hAnsi="Arial" w:cs="Arial"/>
          <w:color w:val="262626"/>
          <w:sz w:val="26"/>
          <w:szCs w:val="26"/>
          <w:lang w:val="en-US"/>
        </w:rPr>
      </w:pPr>
      <w:r>
        <w:rPr>
          <w:rFonts w:ascii="Arial" w:hAnsi="Arial" w:cs="Arial"/>
          <w:b/>
          <w:bCs/>
          <w:color w:val="262626"/>
          <w:sz w:val="26"/>
          <w:szCs w:val="26"/>
          <w:lang w:val="en-US"/>
        </w:rPr>
        <w:t>Clear/predictable decision making</w:t>
      </w:r>
      <w:r>
        <w:rPr>
          <w:rFonts w:ascii="Arial" w:hAnsi="Arial" w:cs="Arial"/>
          <w:color w:val="262626"/>
          <w:sz w:val="26"/>
          <w:szCs w:val="26"/>
          <w:lang w:val="en-US"/>
        </w:rPr>
        <w:t>: </w:t>
      </w:r>
    </w:p>
    <w:p w14:paraId="29E8FE51" w14:textId="77777777" w:rsidR="00135B97" w:rsidRDefault="00135B97" w:rsidP="00135B97">
      <w:pPr>
        <w:widowControl w:val="0"/>
        <w:autoSpaceDE w:val="0"/>
        <w:autoSpaceDN w:val="0"/>
        <w:adjustRightInd w:val="0"/>
        <w:rPr>
          <w:rFonts w:ascii="Arial" w:hAnsi="Arial" w:cs="Arial"/>
          <w:color w:val="1A1A1A"/>
          <w:sz w:val="26"/>
          <w:szCs w:val="26"/>
          <w:lang w:val="en-US"/>
        </w:rPr>
      </w:pPr>
      <w:r>
        <w:rPr>
          <w:rFonts w:ascii="Arial" w:hAnsi="Arial" w:cs="Arial"/>
          <w:color w:val="262626"/>
          <w:sz w:val="26"/>
          <w:szCs w:val="26"/>
          <w:lang w:val="en-US"/>
        </w:rPr>
        <w:t>When any appeal has been filed with the OMB, the parameters around which the OMB decision will be taken should be clear to all.  This is particularly important for individuals or groups who volunteer their time to participate and who could use some additional assistance in preparing for an OMB appeal.</w:t>
      </w:r>
    </w:p>
    <w:p w14:paraId="6A7131F4" w14:textId="77777777" w:rsidR="00135B97" w:rsidRDefault="00135B97" w:rsidP="00135B97">
      <w:pPr>
        <w:widowControl w:val="0"/>
        <w:numPr>
          <w:ilvl w:val="0"/>
          <w:numId w:val="7"/>
        </w:numPr>
        <w:tabs>
          <w:tab w:val="left" w:pos="220"/>
          <w:tab w:val="left" w:pos="720"/>
        </w:tabs>
        <w:autoSpaceDE w:val="0"/>
        <w:autoSpaceDN w:val="0"/>
        <w:adjustRightInd w:val="0"/>
        <w:ind w:hanging="720"/>
        <w:rPr>
          <w:rFonts w:ascii="Arial" w:hAnsi="Arial" w:cs="Arial"/>
          <w:color w:val="262626"/>
          <w:sz w:val="26"/>
          <w:szCs w:val="26"/>
          <w:lang w:val="en-US"/>
        </w:rPr>
      </w:pPr>
      <w:r>
        <w:rPr>
          <w:rFonts w:ascii="Arial" w:hAnsi="Arial" w:cs="Arial"/>
          <w:b/>
          <w:bCs/>
          <w:color w:val="262626"/>
          <w:sz w:val="26"/>
          <w:szCs w:val="26"/>
          <w:lang w:val="en-US"/>
        </w:rPr>
        <w:t>Hearing procedures and practices</w:t>
      </w:r>
      <w:r>
        <w:rPr>
          <w:rFonts w:ascii="Arial" w:hAnsi="Arial" w:cs="Arial"/>
          <w:color w:val="262626"/>
          <w:sz w:val="26"/>
          <w:szCs w:val="26"/>
          <w:lang w:val="en-US"/>
        </w:rPr>
        <w:t>: </w:t>
      </w:r>
    </w:p>
    <w:p w14:paraId="13965741" w14:textId="77777777" w:rsidR="00135B97" w:rsidRDefault="00135B97" w:rsidP="00135B97">
      <w:pPr>
        <w:widowControl w:val="0"/>
        <w:autoSpaceDE w:val="0"/>
        <w:autoSpaceDN w:val="0"/>
        <w:adjustRightInd w:val="0"/>
        <w:rPr>
          <w:rFonts w:ascii="Arial" w:hAnsi="Arial" w:cs="Arial"/>
          <w:color w:val="1A1A1A"/>
          <w:sz w:val="26"/>
          <w:szCs w:val="26"/>
          <w:lang w:val="en-US"/>
        </w:rPr>
      </w:pPr>
      <w:r>
        <w:rPr>
          <w:rFonts w:ascii="Arial" w:hAnsi="Arial" w:cs="Arial"/>
          <w:color w:val="262626"/>
          <w:sz w:val="26"/>
          <w:szCs w:val="26"/>
          <w:lang w:val="en-US"/>
        </w:rPr>
        <w:t xml:space="preserve">The OMB should clearly identify criteria for appointments to the Board and demonstrate how the </w:t>
      </w:r>
      <w:proofErr w:type="gramStart"/>
      <w:r>
        <w:rPr>
          <w:rFonts w:ascii="Arial" w:hAnsi="Arial" w:cs="Arial"/>
          <w:color w:val="262626"/>
          <w:sz w:val="26"/>
          <w:szCs w:val="26"/>
          <w:lang w:val="en-US"/>
        </w:rPr>
        <w:t>individuals appointed meets</w:t>
      </w:r>
      <w:proofErr w:type="gramEnd"/>
      <w:r>
        <w:rPr>
          <w:rFonts w:ascii="Arial" w:hAnsi="Arial" w:cs="Arial"/>
          <w:color w:val="262626"/>
          <w:sz w:val="26"/>
          <w:szCs w:val="26"/>
          <w:lang w:val="en-US"/>
        </w:rPr>
        <w:t xml:space="preserve"> these criteria.  Perhaps a public review process for appointments should be considered.</w:t>
      </w:r>
    </w:p>
    <w:p w14:paraId="099E0486" w14:textId="77777777" w:rsidR="00135B97" w:rsidRDefault="00135B97" w:rsidP="00135B97">
      <w:pPr>
        <w:widowControl w:val="0"/>
        <w:autoSpaceDE w:val="0"/>
        <w:autoSpaceDN w:val="0"/>
        <w:adjustRightInd w:val="0"/>
        <w:rPr>
          <w:rFonts w:ascii="Arial" w:hAnsi="Arial" w:cs="Arial"/>
          <w:color w:val="262626"/>
          <w:sz w:val="26"/>
          <w:szCs w:val="26"/>
          <w:lang w:val="en-US"/>
        </w:rPr>
      </w:pPr>
    </w:p>
    <w:p w14:paraId="0E204D18" w14:textId="77777777" w:rsidR="00135B97" w:rsidRDefault="00135B97" w:rsidP="00135B97">
      <w:pPr>
        <w:widowControl w:val="0"/>
        <w:autoSpaceDE w:val="0"/>
        <w:autoSpaceDN w:val="0"/>
        <w:adjustRightInd w:val="0"/>
        <w:rPr>
          <w:rFonts w:ascii="Arial" w:hAnsi="Arial" w:cs="Arial"/>
          <w:color w:val="1A1A1A"/>
          <w:sz w:val="26"/>
          <w:szCs w:val="26"/>
          <w:lang w:val="en-US"/>
        </w:rPr>
      </w:pPr>
      <w:proofErr w:type="gramStart"/>
      <w:r>
        <w:rPr>
          <w:rFonts w:ascii="Arial" w:hAnsi="Arial" w:cs="Arial"/>
          <w:color w:val="262626"/>
          <w:sz w:val="26"/>
          <w:szCs w:val="26"/>
          <w:lang w:val="en-US"/>
        </w:rPr>
        <w:t>Clearer rules around who is notified when an OMB appeal has been received is</w:t>
      </w:r>
      <w:proofErr w:type="gramEnd"/>
      <w:r>
        <w:rPr>
          <w:rFonts w:ascii="Arial" w:hAnsi="Arial" w:cs="Arial"/>
          <w:color w:val="262626"/>
          <w:sz w:val="26"/>
          <w:szCs w:val="26"/>
          <w:lang w:val="en-US"/>
        </w:rPr>
        <w:t xml:space="preserve"> also necessary.  CHNA was not informed of an appeal to the OMB about a zoning decision to which it had participated and almost missed the opportunity.</w:t>
      </w:r>
    </w:p>
    <w:p w14:paraId="083A3EFB" w14:textId="77777777" w:rsidR="00135B97" w:rsidRDefault="00135B97" w:rsidP="00135B97">
      <w:pPr>
        <w:widowControl w:val="0"/>
        <w:numPr>
          <w:ilvl w:val="0"/>
          <w:numId w:val="8"/>
        </w:numPr>
        <w:tabs>
          <w:tab w:val="left" w:pos="220"/>
          <w:tab w:val="left" w:pos="720"/>
        </w:tabs>
        <w:autoSpaceDE w:val="0"/>
        <w:autoSpaceDN w:val="0"/>
        <w:adjustRightInd w:val="0"/>
        <w:ind w:hanging="720"/>
        <w:rPr>
          <w:rFonts w:ascii="Arial" w:hAnsi="Arial" w:cs="Arial"/>
          <w:color w:val="262626"/>
          <w:sz w:val="26"/>
          <w:szCs w:val="26"/>
          <w:lang w:val="en-US"/>
        </w:rPr>
      </w:pPr>
      <w:r>
        <w:rPr>
          <w:rFonts w:ascii="Arial" w:hAnsi="Arial" w:cs="Arial"/>
          <w:b/>
          <w:bCs/>
          <w:color w:val="262626"/>
          <w:sz w:val="26"/>
          <w:szCs w:val="26"/>
          <w:lang w:val="en-US"/>
        </w:rPr>
        <w:t>Alternative dispute resolution</w:t>
      </w:r>
      <w:r>
        <w:rPr>
          <w:rFonts w:ascii="Arial" w:hAnsi="Arial" w:cs="Arial"/>
          <w:color w:val="262626"/>
          <w:sz w:val="26"/>
          <w:szCs w:val="26"/>
          <w:lang w:val="en-US"/>
        </w:rPr>
        <w:t>: </w:t>
      </w:r>
    </w:p>
    <w:p w14:paraId="3D8ECB92" w14:textId="77777777" w:rsidR="00135B97" w:rsidRDefault="00135B97" w:rsidP="00135B97">
      <w:pPr>
        <w:widowControl w:val="0"/>
        <w:autoSpaceDE w:val="0"/>
        <w:autoSpaceDN w:val="0"/>
        <w:adjustRightInd w:val="0"/>
        <w:rPr>
          <w:rFonts w:ascii="Arial" w:hAnsi="Arial" w:cs="Arial"/>
          <w:color w:val="1A1A1A"/>
          <w:sz w:val="26"/>
          <w:szCs w:val="26"/>
          <w:lang w:val="en-US"/>
        </w:rPr>
      </w:pPr>
      <w:r>
        <w:rPr>
          <w:rFonts w:ascii="Arial" w:hAnsi="Arial" w:cs="Arial"/>
          <w:color w:val="262626"/>
          <w:sz w:val="26"/>
          <w:szCs w:val="26"/>
          <w:lang w:val="en-US"/>
        </w:rPr>
        <w:t>CHNA supports the idea of looking at the viability of other dispute resolution mechanisms, such as mediation, as alternatives to traditional hearings or adversarial procedures as part of the appeal system. </w:t>
      </w:r>
    </w:p>
    <w:p w14:paraId="2A247635" w14:textId="77777777" w:rsidR="00135B97" w:rsidRDefault="00135B97" w:rsidP="00135B97">
      <w:pPr>
        <w:widowControl w:val="0"/>
        <w:numPr>
          <w:ilvl w:val="0"/>
          <w:numId w:val="9"/>
        </w:numPr>
        <w:tabs>
          <w:tab w:val="left" w:pos="220"/>
          <w:tab w:val="left" w:pos="720"/>
        </w:tabs>
        <w:autoSpaceDE w:val="0"/>
        <w:autoSpaceDN w:val="0"/>
        <w:adjustRightInd w:val="0"/>
        <w:ind w:hanging="720"/>
        <w:rPr>
          <w:rFonts w:ascii="Arial" w:hAnsi="Arial" w:cs="Arial"/>
          <w:color w:val="262626"/>
          <w:sz w:val="26"/>
          <w:szCs w:val="26"/>
          <w:lang w:val="en-US"/>
        </w:rPr>
      </w:pPr>
      <w:r>
        <w:rPr>
          <w:rFonts w:ascii="Arial" w:hAnsi="Arial" w:cs="Arial"/>
          <w:b/>
          <w:bCs/>
          <w:color w:val="262626"/>
          <w:sz w:val="26"/>
          <w:szCs w:val="26"/>
          <w:lang w:val="en-US"/>
        </w:rPr>
        <w:t>Transparency and accessibility (new heading from CHNA)</w:t>
      </w:r>
      <w:r>
        <w:rPr>
          <w:rFonts w:ascii="Arial" w:hAnsi="Arial" w:cs="Arial"/>
          <w:color w:val="262626"/>
          <w:sz w:val="26"/>
          <w:szCs w:val="26"/>
          <w:lang w:val="en-US"/>
        </w:rPr>
        <w:t> </w:t>
      </w:r>
    </w:p>
    <w:p w14:paraId="53D7A4BF" w14:textId="77777777" w:rsidR="00135B97" w:rsidRDefault="00135B97" w:rsidP="00135B97">
      <w:pPr>
        <w:widowControl w:val="0"/>
        <w:autoSpaceDE w:val="0"/>
        <w:autoSpaceDN w:val="0"/>
        <w:adjustRightInd w:val="0"/>
        <w:rPr>
          <w:rFonts w:ascii="Arial" w:hAnsi="Arial" w:cs="Arial"/>
          <w:color w:val="1A1A1A"/>
          <w:sz w:val="26"/>
          <w:szCs w:val="26"/>
          <w:lang w:val="en-US"/>
        </w:rPr>
      </w:pPr>
      <w:r>
        <w:rPr>
          <w:rFonts w:ascii="Arial" w:hAnsi="Arial" w:cs="Arial"/>
          <w:color w:val="262626"/>
          <w:sz w:val="26"/>
          <w:szCs w:val="26"/>
          <w:lang w:val="en-US"/>
        </w:rPr>
        <w:t xml:space="preserve">CHNA believes that timeliness, transparency and easy access to documentation are crucial to public trust in </w:t>
      </w:r>
      <w:proofErr w:type="gramStart"/>
      <w:r>
        <w:rPr>
          <w:rFonts w:ascii="Arial" w:hAnsi="Arial" w:cs="Arial"/>
          <w:color w:val="262626"/>
          <w:sz w:val="26"/>
          <w:szCs w:val="26"/>
          <w:lang w:val="en-US"/>
        </w:rPr>
        <w:t>any  institution</w:t>
      </w:r>
      <w:proofErr w:type="gramEnd"/>
      <w:r>
        <w:rPr>
          <w:rFonts w:ascii="Arial" w:hAnsi="Arial" w:cs="Arial"/>
          <w:color w:val="262626"/>
          <w:sz w:val="26"/>
          <w:szCs w:val="26"/>
          <w:lang w:val="en-US"/>
        </w:rPr>
        <w:t>. CHNA supports the idea of making all documents related to Board decisions available on the Board's web site. CHNA recently read a Board decision in which the testimony of witnesses was called into question and it would be good to have an opportunity to review exhibits and testimony.</w:t>
      </w:r>
    </w:p>
    <w:p w14:paraId="12D816E5" w14:textId="77777777" w:rsidR="00135B97" w:rsidRDefault="00135B97" w:rsidP="00135B97">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Finally, CHNA would like to point out that Ontario is alone in Canada as having an entity such as the OMB.  Created as primarily a rail transportation and municipal finance oversight entity, its mandate is out of touch with Ontario's current municipal planning environment, and the important role that citizens and elected officials must have in shaping the city in which they live.  Local matters!!! </w:t>
      </w:r>
    </w:p>
    <w:p w14:paraId="06F30B10" w14:textId="77777777" w:rsidR="00135B97" w:rsidRDefault="00135B97" w:rsidP="00135B97">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Thank you for the opportunity to comment.</w:t>
      </w:r>
    </w:p>
    <w:p w14:paraId="34FC1D4F" w14:textId="77777777" w:rsidR="00135B97" w:rsidRDefault="00135B97" w:rsidP="00135B97">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Sincerely,</w:t>
      </w:r>
    </w:p>
    <w:p w14:paraId="46FD37E4" w14:textId="77777777" w:rsidR="00135B97" w:rsidRDefault="00135B97" w:rsidP="00135B97">
      <w:pPr>
        <w:widowControl w:val="0"/>
        <w:autoSpaceDE w:val="0"/>
        <w:autoSpaceDN w:val="0"/>
        <w:adjustRightInd w:val="0"/>
        <w:rPr>
          <w:rFonts w:ascii="Arial" w:hAnsi="Arial" w:cs="Arial"/>
          <w:color w:val="1A1A1A"/>
          <w:sz w:val="26"/>
          <w:szCs w:val="26"/>
          <w:lang w:val="en-US"/>
        </w:rPr>
      </w:pPr>
      <w:r>
        <w:rPr>
          <w:rFonts w:ascii="Arial" w:hAnsi="Arial" w:cs="Arial"/>
          <w:color w:val="262626"/>
          <w:sz w:val="26"/>
          <w:szCs w:val="26"/>
          <w:lang w:val="en-US"/>
        </w:rPr>
        <w:t>Kathy Kennedy</w:t>
      </w:r>
    </w:p>
    <w:p w14:paraId="7B55F7A6" w14:textId="77777777" w:rsidR="00135B97" w:rsidRDefault="00135B97" w:rsidP="00135B97">
      <w:pPr>
        <w:widowControl w:val="0"/>
        <w:autoSpaceDE w:val="0"/>
        <w:autoSpaceDN w:val="0"/>
        <w:adjustRightInd w:val="0"/>
        <w:rPr>
          <w:rFonts w:ascii="Arial" w:hAnsi="Arial" w:cs="Arial"/>
          <w:color w:val="1A1A1A"/>
          <w:sz w:val="26"/>
          <w:szCs w:val="26"/>
          <w:lang w:val="en-US"/>
        </w:rPr>
      </w:pPr>
      <w:r>
        <w:rPr>
          <w:rFonts w:ascii="Arial" w:hAnsi="Arial" w:cs="Arial"/>
          <w:color w:val="262626"/>
          <w:sz w:val="26"/>
          <w:szCs w:val="26"/>
          <w:lang w:val="en-US"/>
        </w:rPr>
        <w:t>Chair, Planning &amp; Development</w:t>
      </w:r>
    </w:p>
    <w:p w14:paraId="2C0A82A2" w14:textId="77777777" w:rsidR="00135B97" w:rsidRDefault="00135B97" w:rsidP="00135B97">
      <w:pPr>
        <w:widowControl w:val="0"/>
        <w:autoSpaceDE w:val="0"/>
        <w:autoSpaceDN w:val="0"/>
        <w:adjustRightInd w:val="0"/>
        <w:rPr>
          <w:rFonts w:ascii="Arial" w:hAnsi="Arial" w:cs="Arial"/>
          <w:color w:val="1A1A1A"/>
          <w:sz w:val="26"/>
          <w:szCs w:val="26"/>
          <w:lang w:val="en-US"/>
        </w:rPr>
      </w:pPr>
      <w:r>
        <w:rPr>
          <w:rFonts w:ascii="Arial" w:hAnsi="Arial" w:cs="Arial"/>
          <w:color w:val="262626"/>
          <w:sz w:val="26"/>
          <w:szCs w:val="26"/>
          <w:lang w:val="en-US"/>
        </w:rPr>
        <w:t xml:space="preserve">Civic Hospital </w:t>
      </w:r>
      <w:proofErr w:type="spellStart"/>
      <w:r>
        <w:rPr>
          <w:rFonts w:ascii="Arial" w:hAnsi="Arial" w:cs="Arial"/>
          <w:color w:val="262626"/>
          <w:sz w:val="26"/>
          <w:szCs w:val="26"/>
          <w:lang w:val="en-US"/>
        </w:rPr>
        <w:t>Neighbourhood</w:t>
      </w:r>
      <w:proofErr w:type="spellEnd"/>
      <w:r>
        <w:rPr>
          <w:rFonts w:ascii="Arial" w:hAnsi="Arial" w:cs="Arial"/>
          <w:color w:val="262626"/>
          <w:sz w:val="26"/>
          <w:szCs w:val="26"/>
          <w:lang w:val="en-US"/>
        </w:rPr>
        <w:t xml:space="preserve"> Association (CHNA)</w:t>
      </w:r>
    </w:p>
    <w:p w14:paraId="2A4246E9" w14:textId="77777777" w:rsidR="00135B97" w:rsidRDefault="00135B97" w:rsidP="00135B97">
      <w:pPr>
        <w:widowControl w:val="0"/>
        <w:autoSpaceDE w:val="0"/>
        <w:autoSpaceDN w:val="0"/>
        <w:adjustRightInd w:val="0"/>
        <w:rPr>
          <w:rFonts w:ascii="Arial" w:hAnsi="Arial" w:cs="Arial"/>
          <w:color w:val="1A1A1A"/>
          <w:sz w:val="26"/>
          <w:szCs w:val="26"/>
          <w:lang w:val="en-US"/>
        </w:rPr>
      </w:pPr>
      <w:hyperlink r:id="rId7" w:history="1">
        <w:r>
          <w:rPr>
            <w:rFonts w:ascii="Arial" w:hAnsi="Arial" w:cs="Arial"/>
            <w:color w:val="103CC0"/>
            <w:sz w:val="26"/>
            <w:szCs w:val="26"/>
            <w:u w:val="single" w:color="103CC0"/>
            <w:lang w:val="en-US"/>
          </w:rPr>
          <w:t>613-729-7252</w:t>
        </w:r>
      </w:hyperlink>
    </w:p>
    <w:p w14:paraId="4BA72C1D" w14:textId="77777777" w:rsidR="00135B97" w:rsidRDefault="00135B97" w:rsidP="00135B97">
      <w:pPr>
        <w:widowControl w:val="0"/>
        <w:autoSpaceDE w:val="0"/>
        <w:autoSpaceDN w:val="0"/>
        <w:adjustRightInd w:val="0"/>
        <w:rPr>
          <w:rFonts w:ascii="Arial" w:hAnsi="Arial" w:cs="Arial"/>
          <w:color w:val="1A1A1A"/>
          <w:sz w:val="26"/>
          <w:szCs w:val="26"/>
          <w:lang w:val="en-US"/>
        </w:rPr>
      </w:pPr>
      <w:hyperlink r:id="rId8" w:history="1">
        <w:r>
          <w:rPr>
            <w:rFonts w:ascii="Arial" w:hAnsi="Arial" w:cs="Arial"/>
            <w:color w:val="103CC0"/>
            <w:sz w:val="26"/>
            <w:szCs w:val="26"/>
            <w:u w:val="single" w:color="103CC0"/>
            <w:lang w:val="en-US"/>
          </w:rPr>
          <w:t>kathyltk@gmail.com</w:t>
        </w:r>
      </w:hyperlink>
    </w:p>
    <w:p w14:paraId="67543BB6" w14:textId="77777777" w:rsidR="00135B97" w:rsidRDefault="00135B97" w:rsidP="00135B97">
      <w:pPr>
        <w:widowControl w:val="0"/>
        <w:autoSpaceDE w:val="0"/>
        <w:autoSpaceDN w:val="0"/>
        <w:adjustRightInd w:val="0"/>
        <w:rPr>
          <w:rFonts w:ascii="Arial" w:hAnsi="Arial" w:cs="Arial"/>
          <w:color w:val="1A1A1A"/>
          <w:sz w:val="26"/>
          <w:szCs w:val="26"/>
          <w:lang w:val="en-US"/>
        </w:rPr>
      </w:pPr>
    </w:p>
    <w:p w14:paraId="25839387" w14:textId="77777777" w:rsidR="00135B97" w:rsidRDefault="00135B97" w:rsidP="00135B97">
      <w:pPr>
        <w:widowControl w:val="0"/>
        <w:autoSpaceDE w:val="0"/>
        <w:autoSpaceDN w:val="0"/>
        <w:adjustRightInd w:val="0"/>
        <w:rPr>
          <w:rFonts w:ascii="Arial" w:hAnsi="Arial" w:cs="Arial"/>
          <w:color w:val="1A1A1A"/>
          <w:sz w:val="32"/>
          <w:szCs w:val="32"/>
          <w:lang w:val="en-US"/>
        </w:rPr>
      </w:pPr>
    </w:p>
    <w:sectPr w:rsidR="00135B97" w:rsidSect="009F363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B97"/>
    <w:rsid w:val="00135B97"/>
    <w:rsid w:val="00280BDF"/>
    <w:rsid w:val="00372D56"/>
    <w:rsid w:val="009F363A"/>
    <w:rsid w:val="00C64D2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FFB1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B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B9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B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B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tel:613-729-7252" TargetMode="External"/><Relationship Id="rId8" Type="http://schemas.openxmlformats.org/officeDocument/2006/relationships/hyperlink" Target="mailto:kathyltk@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1197</Words>
  <Characters>6154</Characters>
  <Application>Microsoft Macintosh Word</Application>
  <DocSecurity>0</DocSecurity>
  <Lines>473</Lines>
  <Paragraphs>367</Paragraphs>
  <ScaleCrop>false</ScaleCrop>
  <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Kennedy</dc:creator>
  <cp:keywords/>
  <dc:description/>
  <cp:lastModifiedBy>Kathy Kennedy</cp:lastModifiedBy>
  <cp:revision>3</cp:revision>
  <dcterms:created xsi:type="dcterms:W3CDTF">2016-07-14T14:53:00Z</dcterms:created>
  <dcterms:modified xsi:type="dcterms:W3CDTF">2016-07-14T14:56:00Z</dcterms:modified>
</cp:coreProperties>
</file>